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EC95" w14:textId="79F158E7" w:rsidR="009C2E1A" w:rsidRDefault="009C2E1A" w:rsidP="00285843">
      <w:pPr>
        <w:pStyle w:val="Sansinterligne"/>
      </w:pPr>
      <w:r w:rsidRPr="009C2E1A">
        <w:t>Depuis le lundi 7 novembre, il est désormais possible de réaliser en pharmacie l’injection de 14 vaccins. Seules les personnes âgées de 16 ans et plus peuvent être vaccinées en officine. Pour cela, i</w:t>
      </w:r>
      <w:r w:rsidR="00285843">
        <w:t xml:space="preserve">ls doivent </w:t>
      </w:r>
      <w:r w:rsidRPr="009C2E1A">
        <w:t>se rendre dans une pharmacie qui le propose et présenter au pharmacien une ordonnance de son médecin ou de sa sage-femme pour l’un ou plusieurs de ces vaccins.</w:t>
      </w:r>
    </w:p>
    <w:p w14:paraId="3B2C73C6" w14:textId="77777777" w:rsidR="00AC5185" w:rsidRPr="009C2E1A" w:rsidRDefault="00AC5185" w:rsidP="00285843">
      <w:pPr>
        <w:pStyle w:val="Sansinterligne"/>
      </w:pPr>
    </w:p>
    <w:p w14:paraId="7179F342" w14:textId="77777777" w:rsidR="009C2E1A" w:rsidRPr="009C2E1A" w:rsidRDefault="009C2E1A" w:rsidP="009C2E1A">
      <w:r w:rsidRPr="009C2E1A">
        <w:t>La vaccination doit avoir lieu dans un espace de confidentialité et ne peut être réalisée que par un pharmacien.</w:t>
      </w:r>
    </w:p>
    <w:p w14:paraId="6E7610BA" w14:textId="5A000887" w:rsidR="009C2E1A" w:rsidRDefault="009C2E1A" w:rsidP="00285843">
      <w:pPr>
        <w:pStyle w:val="Sansinterligne"/>
      </w:pPr>
      <w:r w:rsidRPr="009C2E1A">
        <w:t>L’objectif de cette nouveauté est d’améliorer la couverture vaccinale et de faciliter le parcours vaccinal des personnes âgées de 16 ans et plus, pour lesquelles ces vaccinations sont recommandées dans </w:t>
      </w:r>
      <w:hyperlink r:id="rId8" w:tgtFrame="_blank" w:tooltip="le calendrier des vaccinations en vigueur (nouvelle fenêtre)" w:history="1">
        <w:r w:rsidRPr="00285843">
          <w:rPr>
            <w:rStyle w:val="Lienhypertexte"/>
            <w:color w:val="auto"/>
          </w:rPr>
          <w:t>le calendrier des vaccinations en vigueur</w:t>
        </w:r>
      </w:hyperlink>
      <w:r w:rsidRPr="009C2E1A">
        <w:t>.</w:t>
      </w:r>
    </w:p>
    <w:p w14:paraId="4E540D71" w14:textId="77777777" w:rsidR="00285843" w:rsidRPr="009C2E1A" w:rsidRDefault="00285843" w:rsidP="00285843">
      <w:pPr>
        <w:pStyle w:val="Sansinterligne"/>
      </w:pPr>
    </w:p>
    <w:p w14:paraId="426CA32F" w14:textId="20E05E28" w:rsidR="009C2E1A" w:rsidRDefault="009C2E1A" w:rsidP="00285843">
      <w:pPr>
        <w:pStyle w:val="Sansinterligne"/>
      </w:pPr>
      <w:r w:rsidRPr="009C2E1A">
        <w:t xml:space="preserve">Les vaccinations contre la </w:t>
      </w:r>
      <w:r w:rsidR="00285843">
        <w:t>G</w:t>
      </w:r>
      <w:r w:rsidRPr="009C2E1A">
        <w:t>rippe et le Covid-19 p</w:t>
      </w:r>
      <w:r w:rsidR="00285843">
        <w:t>eu</w:t>
      </w:r>
      <w:r w:rsidRPr="009C2E1A">
        <w:t>vent déjà être réalisées en pharmacie. Il est maintenant possible de se faire vacciner dans une pharmacie qui le propose contre toutes les maladies suivantes :</w:t>
      </w:r>
    </w:p>
    <w:p w14:paraId="379E0171" w14:textId="49D23C73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9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Le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 xml:space="preserve"> Covid-19</w:t>
        </w:r>
      </w:hyperlink>
    </w:p>
    <w:p w14:paraId="43AA22BE" w14:textId="5EFFDFE0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0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La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 xml:space="preserve"> </w:t>
        </w:r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G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rippe</w:t>
        </w:r>
      </w:hyperlink>
    </w:p>
    <w:p w14:paraId="7103B2EE" w14:textId="41A45FE4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1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a diphtérie</w:t>
        </w:r>
      </w:hyperlink>
    </w:p>
    <w:p w14:paraId="35F4417C" w14:textId="38D6D5E2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2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e tétanos</w:t>
        </w:r>
      </w:hyperlink>
    </w:p>
    <w:p w14:paraId="7680F09C" w14:textId="1044B29B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3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a poliomyélite</w:t>
        </w:r>
      </w:hyperlink>
    </w:p>
    <w:p w14:paraId="4B9B8436" w14:textId="1A496E77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4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a coqueluche</w:t>
        </w:r>
      </w:hyperlink>
    </w:p>
    <w:p w14:paraId="282BE90E" w14:textId="6D630859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5" w:anchor="text_7429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e papillomavirus humains (HPV)</w:t>
        </w:r>
      </w:hyperlink>
      <w:r w:rsidR="009C2E1A" w:rsidRPr="00285843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 xml:space="preserve">  </w:t>
      </w:r>
    </w:p>
    <w:p w14:paraId="379884F8" w14:textId="53792704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6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’hépatite A</w:t>
        </w:r>
      </w:hyperlink>
    </w:p>
    <w:p w14:paraId="7131F17C" w14:textId="0544BA69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7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’hépatite B</w:t>
        </w:r>
      </w:hyperlink>
    </w:p>
    <w:p w14:paraId="240A289F" w14:textId="530A24A2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8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es méningocoques de type A, B, C, Y et W</w:t>
        </w:r>
      </w:hyperlink>
    </w:p>
    <w:p w14:paraId="34C517EE" w14:textId="04DD2843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19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e pneumocoque</w:t>
        </w:r>
      </w:hyperlink>
      <w:r w:rsidR="009C2E1A" w:rsidRPr="00285843"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  <w:t> </w:t>
      </w:r>
    </w:p>
    <w:p w14:paraId="0833D9D5" w14:textId="43C5C7CB" w:rsidR="009C2E1A" w:rsidRPr="00285843" w:rsidRDefault="00000000" w:rsidP="009C2E1A">
      <w:pPr>
        <w:numPr>
          <w:ilvl w:val="0"/>
          <w:numId w:val="11"/>
        </w:numPr>
        <w:shd w:val="clear" w:color="auto" w:fill="FFFFFF"/>
        <w:spacing w:before="100" w:beforeAutospacing="1" w:after="4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FR"/>
        </w:rPr>
      </w:pPr>
      <w:hyperlink r:id="rId20" w:history="1">
        <w:r w:rsidR="00285843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L</w:t>
        </w:r>
        <w:r w:rsidR="009C2E1A" w:rsidRPr="00285843">
          <w:rPr>
            <w:rFonts w:ascii="Roboto" w:eastAsia="Times New Roman" w:hAnsi="Roboto" w:cs="Times New Roman"/>
            <w:color w:val="3D67AE"/>
            <w:sz w:val="24"/>
            <w:szCs w:val="24"/>
            <w:lang w:eastAsia="fr-FR"/>
          </w:rPr>
          <w:t>a rage</w:t>
        </w:r>
      </w:hyperlink>
    </w:p>
    <w:p w14:paraId="50F46E00" w14:textId="77777777" w:rsidR="009C2E1A" w:rsidRPr="009C2E1A" w:rsidRDefault="009C2E1A" w:rsidP="009C2E1A"/>
    <w:p w14:paraId="17A4DBD7" w14:textId="04DC69F5" w:rsidR="009C2E1A" w:rsidRDefault="00285843" w:rsidP="00285843">
      <w:pPr>
        <w:pStyle w:val="Sansinterligne"/>
      </w:pPr>
      <w:r>
        <w:t>L</w:t>
      </w:r>
      <w:r w:rsidR="009C2E1A" w:rsidRPr="009C2E1A">
        <w:t>e pharmacien facture l’honoraire de vaccination en utilisant le code «</w:t>
      </w:r>
      <w:r w:rsidR="009C2E1A" w:rsidRPr="009C2E1A">
        <w:rPr>
          <w:b/>
          <w:bCs/>
        </w:rPr>
        <w:t> RVA </w:t>
      </w:r>
      <w:r w:rsidR="009C2E1A" w:rsidRPr="009C2E1A">
        <w:t>»</w:t>
      </w:r>
      <w:r>
        <w:t xml:space="preserve"> et</w:t>
      </w:r>
      <w:r w:rsidR="009C2E1A" w:rsidRPr="009C2E1A">
        <w:t xml:space="preserve"> en s’identifiant en tant que prescripteur et exécutant :</w:t>
      </w:r>
    </w:p>
    <w:p w14:paraId="17111196" w14:textId="77777777" w:rsidR="00285843" w:rsidRPr="009C2E1A" w:rsidRDefault="00285843" w:rsidP="00285843">
      <w:pPr>
        <w:pStyle w:val="Sansinterligne"/>
      </w:pPr>
    </w:p>
    <w:p w14:paraId="2A92854D" w14:textId="10B83F0E" w:rsidR="009C2E1A" w:rsidRDefault="00285843" w:rsidP="00285843">
      <w:pPr>
        <w:pStyle w:val="Sansinterligne"/>
        <w:numPr>
          <w:ilvl w:val="0"/>
          <w:numId w:val="12"/>
        </w:numPr>
      </w:pPr>
      <w:r>
        <w:t>L</w:t>
      </w:r>
      <w:r w:rsidR="009C2E1A" w:rsidRPr="009C2E1A">
        <w:t>a facturation de l’honoraire de vaccination par le pharmacien, qui matérialise l’acte d’injection du pharmacien, n’est pas conditionnée à la délivrance et à la facturation d’un vaccin</w:t>
      </w:r>
      <w:r>
        <w:t>.</w:t>
      </w:r>
    </w:p>
    <w:p w14:paraId="17D2C414" w14:textId="77777777" w:rsidR="00285843" w:rsidRPr="009C2E1A" w:rsidRDefault="00285843" w:rsidP="00285843">
      <w:pPr>
        <w:pStyle w:val="Sansinterligne"/>
        <w:ind w:left="720"/>
      </w:pPr>
    </w:p>
    <w:p w14:paraId="52109C4F" w14:textId="0F454CFF" w:rsidR="009C2E1A" w:rsidRDefault="00285843" w:rsidP="00285843">
      <w:pPr>
        <w:pStyle w:val="Sansinterligne"/>
        <w:numPr>
          <w:ilvl w:val="0"/>
          <w:numId w:val="12"/>
        </w:numPr>
      </w:pPr>
      <w:r>
        <w:t>L</w:t>
      </w:r>
      <w:r w:rsidR="009C2E1A" w:rsidRPr="009C2E1A">
        <w:t>’honoraire de vaccination doit être facturé indépendamment de toute autre facturation (médicament, LPP, vaccin…)</w:t>
      </w:r>
      <w:r>
        <w:t>.</w:t>
      </w:r>
    </w:p>
    <w:p w14:paraId="70A7794C" w14:textId="77777777" w:rsidR="00285843" w:rsidRPr="009C2E1A" w:rsidRDefault="00285843" w:rsidP="00285843">
      <w:pPr>
        <w:pStyle w:val="Sansinterligne"/>
      </w:pPr>
    </w:p>
    <w:p w14:paraId="62496B86" w14:textId="5CCAAC1C" w:rsidR="009C2E1A" w:rsidRPr="009C2E1A" w:rsidRDefault="00285843" w:rsidP="00285843">
      <w:pPr>
        <w:pStyle w:val="Sansinterligne"/>
        <w:numPr>
          <w:ilvl w:val="0"/>
          <w:numId w:val="12"/>
        </w:numPr>
      </w:pPr>
      <w:r>
        <w:t>L</w:t>
      </w:r>
      <w:r w:rsidR="009C2E1A" w:rsidRPr="009C2E1A">
        <w:t>e tarif de l’honoraire de vaccination est de 7,50 € TTC en métropole et 7,88 € TTC pour les départements et collectivités d’outre-mer.</w:t>
      </w:r>
    </w:p>
    <w:p w14:paraId="73226B60" w14:textId="58BBE2C0" w:rsidR="00E64BC6" w:rsidRDefault="00E64BC6" w:rsidP="009C2E1A"/>
    <w:p w14:paraId="3AF6D23E" w14:textId="29EC5CFB" w:rsidR="004E2CBF" w:rsidRDefault="004E2CBF" w:rsidP="009C2E1A"/>
    <w:p w14:paraId="6BB7D575" w14:textId="00A0D8BB" w:rsidR="00285843" w:rsidRDefault="00285843">
      <w:r>
        <w:br w:type="page"/>
      </w:r>
    </w:p>
    <w:p w14:paraId="5A5241A1" w14:textId="37BABABF" w:rsidR="004E2CBF" w:rsidRDefault="004E2CBF" w:rsidP="009C2E1A">
      <w:pPr>
        <w:rPr>
          <w:noProof/>
        </w:rPr>
      </w:pPr>
      <w:r>
        <w:rPr>
          <w:noProof/>
        </w:rPr>
        <w:lastRenderedPageBreak/>
        <w:t>Saisir un dossier Maladie en Exo 0 (</w:t>
      </w:r>
      <w:r w:rsidRPr="00285843">
        <w:rPr>
          <w:i/>
          <w:iCs/>
          <w:noProof/>
        </w:rPr>
        <w:t>70% caisse et 30%mutuelle</w:t>
      </w:r>
      <w:r>
        <w:rPr>
          <w:noProof/>
        </w:rPr>
        <w:t>)</w:t>
      </w:r>
    </w:p>
    <w:p w14:paraId="401A34B3" w14:textId="78786FAF" w:rsidR="004E2CBF" w:rsidRDefault="004E2CBF" w:rsidP="009C2E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17C5E" wp14:editId="488B31B6">
                <wp:simplePos x="0" y="0"/>
                <wp:positionH relativeFrom="column">
                  <wp:posOffset>78105</wp:posOffset>
                </wp:positionH>
                <wp:positionV relativeFrom="paragraph">
                  <wp:posOffset>362585</wp:posOffset>
                </wp:positionV>
                <wp:extent cx="904875" cy="4762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ADB4E" id="Rectangle : coins arrondis 9" o:spid="_x0000_s1026" style="position:absolute;margin-left:6.15pt;margin-top:28.55pt;width:71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C43C416" wp14:editId="0C7A780D">
            <wp:extent cx="6840220" cy="466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9360"/>
                    <a:stretch/>
                  </pic:blipFill>
                  <pic:spPr bwMode="auto">
                    <a:xfrm>
                      <a:off x="0" y="0"/>
                      <a:ext cx="6840220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BDE78" w14:textId="644D0EE7" w:rsidR="004E2CBF" w:rsidRDefault="004E2CBF" w:rsidP="009C2E1A">
      <w:pPr>
        <w:rPr>
          <w:noProof/>
        </w:rPr>
      </w:pPr>
      <w:r>
        <w:t xml:space="preserve">  </w:t>
      </w:r>
    </w:p>
    <w:p w14:paraId="755BC86E" w14:textId="1375C7A9" w:rsidR="004E2CBF" w:rsidRDefault="004E2CBF" w:rsidP="009C2E1A">
      <w:r>
        <w:t xml:space="preserve">La prestation est déjà créée dans </w:t>
      </w:r>
      <w:r w:rsidR="00285843">
        <w:t>le</w:t>
      </w:r>
      <w:r>
        <w:t xml:space="preserve"> logiciel avec le code </w:t>
      </w:r>
      <w:r w:rsidR="00285843">
        <w:t>« </w:t>
      </w:r>
      <w:r w:rsidRPr="00285843">
        <w:rPr>
          <w:b/>
          <w:bCs/>
        </w:rPr>
        <w:t>RVA</w:t>
      </w:r>
      <w:r w:rsidR="00285843">
        <w:rPr>
          <w:b/>
          <w:bCs/>
        </w:rPr>
        <w:t> »</w:t>
      </w:r>
      <w:r>
        <w:t xml:space="preserve"> :                                        </w:t>
      </w:r>
    </w:p>
    <w:p w14:paraId="71A0A5D1" w14:textId="77777777" w:rsidR="004E2CBF" w:rsidRDefault="004E2CBF" w:rsidP="009C2E1A">
      <w:pPr>
        <w:rPr>
          <w:noProof/>
        </w:rPr>
      </w:pPr>
    </w:p>
    <w:p w14:paraId="320169AE" w14:textId="4AB5FE8D" w:rsidR="004E2CBF" w:rsidRPr="009C2E1A" w:rsidRDefault="004E2CBF" w:rsidP="009C2E1A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3A64A680" wp14:editId="3B91B69B">
            <wp:extent cx="3448050" cy="2400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53" t="12765" r="48339" b="40621"/>
                    <a:stretch/>
                  </pic:blipFill>
                  <pic:spPr bwMode="auto">
                    <a:xfrm>
                      <a:off x="0" y="0"/>
                      <a:ext cx="34480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CBF" w:rsidRPr="009C2E1A" w:rsidSect="00990F13">
      <w:headerReference w:type="default" r:id="rId23"/>
      <w:pgSz w:w="11906" w:h="16838"/>
      <w:pgMar w:top="2031" w:right="567" w:bottom="567" w:left="567" w:header="5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2F7E" w14:textId="77777777" w:rsidR="00AF5F5D" w:rsidRDefault="00AF5F5D" w:rsidP="00FE3523">
      <w:pPr>
        <w:spacing w:after="0" w:line="240" w:lineRule="auto"/>
      </w:pPr>
      <w:r>
        <w:separator/>
      </w:r>
    </w:p>
  </w:endnote>
  <w:endnote w:type="continuationSeparator" w:id="0">
    <w:p w14:paraId="7FA737F5" w14:textId="77777777" w:rsidR="00AF5F5D" w:rsidRDefault="00AF5F5D" w:rsidP="00F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639B" w14:textId="77777777" w:rsidR="00AF5F5D" w:rsidRDefault="00AF5F5D" w:rsidP="00FE3523">
      <w:pPr>
        <w:spacing w:after="0" w:line="240" w:lineRule="auto"/>
      </w:pPr>
      <w:r>
        <w:separator/>
      </w:r>
    </w:p>
  </w:footnote>
  <w:footnote w:type="continuationSeparator" w:id="0">
    <w:p w14:paraId="6815E4EE" w14:textId="77777777" w:rsidR="00AF5F5D" w:rsidRDefault="00AF5F5D" w:rsidP="00F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4C6C" w14:textId="77777777" w:rsidR="00990F13" w:rsidRDefault="00990F13" w:rsidP="00990F13">
    <w:pPr>
      <w:pStyle w:val="Titre"/>
      <w:rPr>
        <w:sz w:val="34"/>
        <w:szCs w:val="34"/>
      </w:rPr>
    </w:pPr>
    <w:r>
      <w:rPr>
        <w:noProof/>
        <w:sz w:val="64"/>
      </w:rPr>
      <w:drawing>
        <wp:anchor distT="0" distB="0" distL="114300" distR="114300" simplePos="0" relativeHeight="251657216" behindDoc="0" locked="0" layoutInCell="1" allowOverlap="1" wp14:anchorId="197EFB27" wp14:editId="3775B673">
          <wp:simplePos x="0" y="0"/>
          <wp:positionH relativeFrom="margin">
            <wp:posOffset>1447800</wp:posOffset>
          </wp:positionH>
          <wp:positionV relativeFrom="paragraph">
            <wp:posOffset>-274320</wp:posOffset>
          </wp:positionV>
          <wp:extent cx="3488625" cy="741872"/>
          <wp:effectExtent l="0" t="0" r="0" b="0"/>
          <wp:wrapThrough wrapText="bothSides">
            <wp:wrapPolygon edited="0">
              <wp:start x="472" y="1110"/>
              <wp:lineTo x="236" y="3329"/>
              <wp:lineTo x="236" y="18863"/>
              <wp:lineTo x="354" y="19973"/>
              <wp:lineTo x="20998" y="19973"/>
              <wp:lineTo x="21352" y="6658"/>
              <wp:lineTo x="20173" y="4993"/>
              <wp:lineTo x="14628" y="1110"/>
              <wp:lineTo x="472" y="1110"/>
            </wp:wrapPolygon>
          </wp:wrapThrough>
          <wp:docPr id="52" name="Image 52" descr="Une image contenant objet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pharm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625" cy="74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</w:t>
    </w:r>
  </w:p>
  <w:p w14:paraId="08398C0D" w14:textId="0FD80A97" w:rsidR="00990F13" w:rsidRDefault="00990F13" w:rsidP="00990F13">
    <w:pPr>
      <w:pStyle w:val="Titre"/>
      <w:rPr>
        <w:sz w:val="34"/>
        <w:szCs w:val="34"/>
      </w:rPr>
    </w:pPr>
  </w:p>
  <w:p w14:paraId="02450850" w14:textId="267A84C6" w:rsidR="00990F13" w:rsidRDefault="00990F13" w:rsidP="00990F13">
    <w:pPr>
      <w:pStyle w:val="Titre"/>
      <w:tabs>
        <w:tab w:val="left" w:pos="9165"/>
      </w:tabs>
      <w:rPr>
        <w:sz w:val="16"/>
        <w:szCs w:val="16"/>
      </w:rPr>
    </w:pPr>
  </w:p>
  <w:p w14:paraId="6429CC45" w14:textId="6497D3F4" w:rsidR="00FE3523" w:rsidRPr="00285843" w:rsidRDefault="00285843" w:rsidP="00285843">
    <w:pPr>
      <w:pStyle w:val="Titre"/>
      <w:tabs>
        <w:tab w:val="left" w:pos="9165"/>
      </w:tabs>
      <w:jc w:val="right"/>
      <w:rPr>
        <w:b/>
        <w:bCs/>
        <w:i/>
        <w:iCs/>
        <w:sz w:val="16"/>
        <w:szCs w:val="16"/>
      </w:rPr>
    </w:pPr>
    <w:r w:rsidRPr="00285843">
      <w:rPr>
        <w:b/>
        <w:bCs/>
        <w:i/>
        <w:iCs/>
        <w:sz w:val="16"/>
        <w:szCs w:val="16"/>
      </w:rPr>
      <w:t>Rappel Vaccination Adulte RVA le 21/11/2022</w:t>
    </w:r>
    <w:r w:rsidRPr="00285843">
      <w:rPr>
        <w:b/>
        <w:bCs/>
        <w:i/>
        <w:iCs/>
        <w:sz w:val="16"/>
        <w:szCs w:val="16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B5"/>
    <w:multiLevelType w:val="hybridMultilevel"/>
    <w:tmpl w:val="5904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693"/>
    <w:multiLevelType w:val="multilevel"/>
    <w:tmpl w:val="4B8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6E0"/>
    <w:multiLevelType w:val="hybridMultilevel"/>
    <w:tmpl w:val="AD926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90BBF"/>
    <w:multiLevelType w:val="hybridMultilevel"/>
    <w:tmpl w:val="9962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DEE"/>
    <w:multiLevelType w:val="multilevel"/>
    <w:tmpl w:val="D3F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94CFF"/>
    <w:multiLevelType w:val="hybridMultilevel"/>
    <w:tmpl w:val="478C3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453E"/>
    <w:multiLevelType w:val="hybridMultilevel"/>
    <w:tmpl w:val="2E108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876"/>
    <w:multiLevelType w:val="hybridMultilevel"/>
    <w:tmpl w:val="8F74C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27C3"/>
    <w:multiLevelType w:val="hybridMultilevel"/>
    <w:tmpl w:val="0942A974"/>
    <w:lvl w:ilvl="0" w:tplc="36DC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207E"/>
    <w:multiLevelType w:val="hybridMultilevel"/>
    <w:tmpl w:val="BE6CA7F6"/>
    <w:lvl w:ilvl="0" w:tplc="2D5A2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0155"/>
    <w:multiLevelType w:val="hybridMultilevel"/>
    <w:tmpl w:val="9466A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27CB6"/>
    <w:multiLevelType w:val="hybridMultilevel"/>
    <w:tmpl w:val="0D82A348"/>
    <w:lvl w:ilvl="0" w:tplc="0E52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932031">
    <w:abstractNumId w:val="5"/>
  </w:num>
  <w:num w:numId="2" w16cid:durableId="225456914">
    <w:abstractNumId w:val="2"/>
  </w:num>
  <w:num w:numId="3" w16cid:durableId="1000891405">
    <w:abstractNumId w:val="3"/>
  </w:num>
  <w:num w:numId="4" w16cid:durableId="170417576">
    <w:abstractNumId w:val="9"/>
  </w:num>
  <w:num w:numId="5" w16cid:durableId="31851382">
    <w:abstractNumId w:val="11"/>
  </w:num>
  <w:num w:numId="6" w16cid:durableId="690230369">
    <w:abstractNumId w:val="8"/>
  </w:num>
  <w:num w:numId="7" w16cid:durableId="2136291296">
    <w:abstractNumId w:val="6"/>
  </w:num>
  <w:num w:numId="8" w16cid:durableId="1892182771">
    <w:abstractNumId w:val="7"/>
  </w:num>
  <w:num w:numId="9" w16cid:durableId="704604530">
    <w:abstractNumId w:val="0"/>
  </w:num>
  <w:num w:numId="10" w16cid:durableId="1937055381">
    <w:abstractNumId w:val="10"/>
  </w:num>
  <w:num w:numId="11" w16cid:durableId="845362766">
    <w:abstractNumId w:val="4"/>
  </w:num>
  <w:num w:numId="12" w16cid:durableId="1385256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F3"/>
    <w:rsid w:val="00011D39"/>
    <w:rsid w:val="00036B92"/>
    <w:rsid w:val="00055E54"/>
    <w:rsid w:val="000966A9"/>
    <w:rsid w:val="000C33C4"/>
    <w:rsid w:val="000D0879"/>
    <w:rsid w:val="000E0CA6"/>
    <w:rsid w:val="000F2746"/>
    <w:rsid w:val="000F72F2"/>
    <w:rsid w:val="00104382"/>
    <w:rsid w:val="0011723E"/>
    <w:rsid w:val="001335DB"/>
    <w:rsid w:val="001356C3"/>
    <w:rsid w:val="001368AB"/>
    <w:rsid w:val="001454BA"/>
    <w:rsid w:val="00152DC2"/>
    <w:rsid w:val="00180429"/>
    <w:rsid w:val="00193A86"/>
    <w:rsid w:val="001A538B"/>
    <w:rsid w:val="001B24EE"/>
    <w:rsid w:val="001D2DF3"/>
    <w:rsid w:val="001D2FC3"/>
    <w:rsid w:val="001F15DB"/>
    <w:rsid w:val="001F7D03"/>
    <w:rsid w:val="002308FA"/>
    <w:rsid w:val="00237D56"/>
    <w:rsid w:val="002407FD"/>
    <w:rsid w:val="0024590E"/>
    <w:rsid w:val="0025013C"/>
    <w:rsid w:val="00270803"/>
    <w:rsid w:val="002844F4"/>
    <w:rsid w:val="00285843"/>
    <w:rsid w:val="002869E8"/>
    <w:rsid w:val="002A187E"/>
    <w:rsid w:val="002A6316"/>
    <w:rsid w:val="002A65C9"/>
    <w:rsid w:val="002C5694"/>
    <w:rsid w:val="002D080D"/>
    <w:rsid w:val="002D0A7F"/>
    <w:rsid w:val="002E03D6"/>
    <w:rsid w:val="002F7E96"/>
    <w:rsid w:val="0032016A"/>
    <w:rsid w:val="00324C46"/>
    <w:rsid w:val="00330920"/>
    <w:rsid w:val="00337A35"/>
    <w:rsid w:val="00351CC4"/>
    <w:rsid w:val="0036133F"/>
    <w:rsid w:val="0036263E"/>
    <w:rsid w:val="00375C8D"/>
    <w:rsid w:val="003A6436"/>
    <w:rsid w:val="003B17AC"/>
    <w:rsid w:val="003B4103"/>
    <w:rsid w:val="003D7899"/>
    <w:rsid w:val="003E2ACA"/>
    <w:rsid w:val="003F1226"/>
    <w:rsid w:val="00400BE4"/>
    <w:rsid w:val="00404F28"/>
    <w:rsid w:val="004062E0"/>
    <w:rsid w:val="00413D07"/>
    <w:rsid w:val="004168B5"/>
    <w:rsid w:val="00424CED"/>
    <w:rsid w:val="00441013"/>
    <w:rsid w:val="00461BAF"/>
    <w:rsid w:val="00462CD0"/>
    <w:rsid w:val="00471B04"/>
    <w:rsid w:val="0048313E"/>
    <w:rsid w:val="00492530"/>
    <w:rsid w:val="004B6471"/>
    <w:rsid w:val="004E2CBF"/>
    <w:rsid w:val="00504A7B"/>
    <w:rsid w:val="00510337"/>
    <w:rsid w:val="00527F4F"/>
    <w:rsid w:val="00571010"/>
    <w:rsid w:val="005A1572"/>
    <w:rsid w:val="005C2F62"/>
    <w:rsid w:val="005C5F64"/>
    <w:rsid w:val="005C627A"/>
    <w:rsid w:val="005D52CB"/>
    <w:rsid w:val="00606FFD"/>
    <w:rsid w:val="006071EF"/>
    <w:rsid w:val="00611014"/>
    <w:rsid w:val="006150EA"/>
    <w:rsid w:val="00626630"/>
    <w:rsid w:val="00630FFF"/>
    <w:rsid w:val="00634657"/>
    <w:rsid w:val="00670209"/>
    <w:rsid w:val="0067032B"/>
    <w:rsid w:val="006710C0"/>
    <w:rsid w:val="006B0901"/>
    <w:rsid w:val="006B2716"/>
    <w:rsid w:val="006B460E"/>
    <w:rsid w:val="006F7677"/>
    <w:rsid w:val="00701D23"/>
    <w:rsid w:val="00702706"/>
    <w:rsid w:val="00763F0F"/>
    <w:rsid w:val="00781F3C"/>
    <w:rsid w:val="007C6278"/>
    <w:rsid w:val="007F1C24"/>
    <w:rsid w:val="008022A6"/>
    <w:rsid w:val="00865487"/>
    <w:rsid w:val="008E00E5"/>
    <w:rsid w:val="008E3A05"/>
    <w:rsid w:val="008E4A9B"/>
    <w:rsid w:val="0090230C"/>
    <w:rsid w:val="00913401"/>
    <w:rsid w:val="00915D6B"/>
    <w:rsid w:val="00917A33"/>
    <w:rsid w:val="0093287F"/>
    <w:rsid w:val="0093636E"/>
    <w:rsid w:val="00943591"/>
    <w:rsid w:val="0096382C"/>
    <w:rsid w:val="00975BAF"/>
    <w:rsid w:val="00982FD2"/>
    <w:rsid w:val="009846FF"/>
    <w:rsid w:val="00990F13"/>
    <w:rsid w:val="00993174"/>
    <w:rsid w:val="009A5938"/>
    <w:rsid w:val="009B77B0"/>
    <w:rsid w:val="009C2E1A"/>
    <w:rsid w:val="009D3A52"/>
    <w:rsid w:val="009F24EA"/>
    <w:rsid w:val="009F35A6"/>
    <w:rsid w:val="00A12650"/>
    <w:rsid w:val="00A474B0"/>
    <w:rsid w:val="00A55B44"/>
    <w:rsid w:val="00A63578"/>
    <w:rsid w:val="00A67C99"/>
    <w:rsid w:val="00A67F4A"/>
    <w:rsid w:val="00A72CB6"/>
    <w:rsid w:val="00A757AB"/>
    <w:rsid w:val="00A87271"/>
    <w:rsid w:val="00AA20C7"/>
    <w:rsid w:val="00AB1063"/>
    <w:rsid w:val="00AC5185"/>
    <w:rsid w:val="00AD19C2"/>
    <w:rsid w:val="00AD766E"/>
    <w:rsid w:val="00AF4EDC"/>
    <w:rsid w:val="00AF5F5D"/>
    <w:rsid w:val="00AF7893"/>
    <w:rsid w:val="00B00045"/>
    <w:rsid w:val="00B05F08"/>
    <w:rsid w:val="00B122D5"/>
    <w:rsid w:val="00B27005"/>
    <w:rsid w:val="00B57286"/>
    <w:rsid w:val="00B62516"/>
    <w:rsid w:val="00B913A7"/>
    <w:rsid w:val="00BA7E2C"/>
    <w:rsid w:val="00BD3AF6"/>
    <w:rsid w:val="00BE6E3A"/>
    <w:rsid w:val="00BF46C8"/>
    <w:rsid w:val="00C03A20"/>
    <w:rsid w:val="00C04A04"/>
    <w:rsid w:val="00C0505E"/>
    <w:rsid w:val="00C06BFB"/>
    <w:rsid w:val="00C158CD"/>
    <w:rsid w:val="00C20EEF"/>
    <w:rsid w:val="00C3461B"/>
    <w:rsid w:val="00C52B39"/>
    <w:rsid w:val="00C67FD7"/>
    <w:rsid w:val="00C74FA3"/>
    <w:rsid w:val="00C840E3"/>
    <w:rsid w:val="00C85642"/>
    <w:rsid w:val="00C933A1"/>
    <w:rsid w:val="00CB7C59"/>
    <w:rsid w:val="00CC3CC6"/>
    <w:rsid w:val="00CF08EA"/>
    <w:rsid w:val="00CF4BDE"/>
    <w:rsid w:val="00CF54B2"/>
    <w:rsid w:val="00D0153E"/>
    <w:rsid w:val="00D106CC"/>
    <w:rsid w:val="00D27FA7"/>
    <w:rsid w:val="00D4103F"/>
    <w:rsid w:val="00D47BF8"/>
    <w:rsid w:val="00D557A8"/>
    <w:rsid w:val="00D67921"/>
    <w:rsid w:val="00D862A7"/>
    <w:rsid w:val="00D90191"/>
    <w:rsid w:val="00DA196F"/>
    <w:rsid w:val="00DA3179"/>
    <w:rsid w:val="00DF2A1F"/>
    <w:rsid w:val="00E0322F"/>
    <w:rsid w:val="00E143A4"/>
    <w:rsid w:val="00E1799D"/>
    <w:rsid w:val="00E23702"/>
    <w:rsid w:val="00E64BC6"/>
    <w:rsid w:val="00EA2943"/>
    <w:rsid w:val="00EB0591"/>
    <w:rsid w:val="00EE2992"/>
    <w:rsid w:val="00EF03EC"/>
    <w:rsid w:val="00F049C5"/>
    <w:rsid w:val="00F06E27"/>
    <w:rsid w:val="00F262C0"/>
    <w:rsid w:val="00F35DDD"/>
    <w:rsid w:val="00F71F01"/>
    <w:rsid w:val="00F7284D"/>
    <w:rsid w:val="00F82C0D"/>
    <w:rsid w:val="00F84307"/>
    <w:rsid w:val="00FA3139"/>
    <w:rsid w:val="00FA7C44"/>
    <w:rsid w:val="00FC31CC"/>
    <w:rsid w:val="00FD749A"/>
    <w:rsid w:val="00FE2007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CDAB"/>
  <w15:docId w15:val="{53C072D1-378F-4BAA-8FCA-8E2036D6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07"/>
  </w:style>
  <w:style w:type="paragraph" w:styleId="Titre1">
    <w:name w:val="heading 1"/>
    <w:basedOn w:val="Normal"/>
    <w:next w:val="Normal"/>
    <w:link w:val="Titre1Car"/>
    <w:uiPriority w:val="9"/>
    <w:qFormat/>
    <w:rsid w:val="001D2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4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2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D2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2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1D2D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F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4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523"/>
  </w:style>
  <w:style w:type="paragraph" w:styleId="Pieddepage">
    <w:name w:val="footer"/>
    <w:basedOn w:val="Normal"/>
    <w:link w:val="PieddepageCar"/>
    <w:uiPriority w:val="99"/>
    <w:unhideWhenUsed/>
    <w:rsid w:val="00FE3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523"/>
  </w:style>
  <w:style w:type="paragraph" w:styleId="Paragraphedeliste">
    <w:name w:val="List Paragraph"/>
    <w:basedOn w:val="Normal"/>
    <w:uiPriority w:val="34"/>
    <w:qFormat/>
    <w:rsid w:val="00D557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2E1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prevention-en-sante/preserver-sa-sante/vaccination/calendrier-vaccinal" TargetMode="External"/><Relationship Id="rId13" Type="http://schemas.openxmlformats.org/officeDocument/2006/relationships/hyperlink" Target="https://www.ameli.fr/assure/sante/themes/vaccination/vaccins-obligatoires" TargetMode="External"/><Relationship Id="rId18" Type="http://schemas.openxmlformats.org/officeDocument/2006/relationships/hyperlink" Target="https://www.ameli.fr/assure/sante/themes/meningite-aigue/preventio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ameli.fr/assure/sante/themes/vaccination/vaccins-obligatoires" TargetMode="External"/><Relationship Id="rId17" Type="http://schemas.openxmlformats.org/officeDocument/2006/relationships/hyperlink" Target="https://www.ameli.fr/assure/sante/themes/hepatite-b/preven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eli.fr/assure/sante/themes/hepatite/prevention" TargetMode="External"/><Relationship Id="rId20" Type="http://schemas.openxmlformats.org/officeDocument/2006/relationships/hyperlink" Target="https://www.ameli.fr/assure/sante/urgence/morsures-griffures-piqures/morsure-chien-ch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li.fr/assure/sante/themes/vaccination/vaccins-obligatoir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meli.fr/assure/sante/themes/vaccination/vaccins-recommand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meli.fr/assure/sante/themes/grippe/prevention" TargetMode="External"/><Relationship Id="rId19" Type="http://schemas.openxmlformats.org/officeDocument/2006/relationships/hyperlink" Target="https://www.ameli.fr/assure/sante/themes/pneumonie/mesures-hygiene-vacc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li.fr/assure/covid-19/vaccination-contre-le-covid-19/vaccination-covid-19-mode-d-emploi" TargetMode="External"/><Relationship Id="rId14" Type="http://schemas.openxmlformats.org/officeDocument/2006/relationships/hyperlink" Target="https://www.ameli.fr/assure/sante/themes/coqueluche/definition-transmission-symptomes" TargetMode="External"/><Relationship Id="rId2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75DB1-93E7-428F-9D48-D8ED33BC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 RICHIR</cp:lastModifiedBy>
  <cp:revision>2</cp:revision>
  <cp:lastPrinted>2022-05-31T15:25:00Z</cp:lastPrinted>
  <dcterms:created xsi:type="dcterms:W3CDTF">2022-11-21T14:04:00Z</dcterms:created>
  <dcterms:modified xsi:type="dcterms:W3CDTF">2022-11-21T14:04:00Z</dcterms:modified>
</cp:coreProperties>
</file>